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789"/>
        <w:gridCol w:w="3827"/>
        <w:gridCol w:w="2552"/>
      </w:tblGrid>
      <w:tr w:rsidR="00132EBA" w:rsidRPr="00311AD3" w14:paraId="6AD25669" w14:textId="77777777" w:rsidTr="00132EBA">
        <w:trPr>
          <w:trHeight w:val="572"/>
        </w:trPr>
        <w:tc>
          <w:tcPr>
            <w:tcW w:w="12616" w:type="dxa"/>
            <w:gridSpan w:val="2"/>
            <w:shd w:val="clear" w:color="auto" w:fill="DEEAF6" w:themeFill="accent1" w:themeFillTint="33"/>
            <w:vAlign w:val="center"/>
          </w:tcPr>
          <w:p w14:paraId="31192ACE" w14:textId="77777777" w:rsidR="00132EBA" w:rsidRPr="0063758D" w:rsidRDefault="00132EBA" w:rsidP="00132EB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t>ПРИНЦИП 12.</w:t>
            </w:r>
            <w:r w:rsidRPr="0063758D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t>ОТЧЕТНОСТ</w:t>
            </w:r>
          </w:p>
        </w:tc>
        <w:tc>
          <w:tcPr>
            <w:tcW w:w="2552" w:type="dxa"/>
            <w:shd w:val="clear" w:color="auto" w:fill="DEEAF6" w:themeFill="accent1" w:themeFillTint="33"/>
            <w:vAlign w:val="center"/>
          </w:tcPr>
          <w:p w14:paraId="2D8BE4B9" w14:textId="77777777" w:rsidR="00132EBA" w:rsidRPr="0063758D" w:rsidRDefault="00132EBA" w:rsidP="00132EB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t>ОБЩИНА: ТЕТЕВЕН</w:t>
            </w:r>
          </w:p>
        </w:tc>
      </w:tr>
      <w:tr w:rsidR="00132EBA" w:rsidRPr="00311AD3" w14:paraId="134C25F6" w14:textId="77777777" w:rsidTr="00132EBA">
        <w:tc>
          <w:tcPr>
            <w:tcW w:w="8789" w:type="dxa"/>
            <w:shd w:val="clear" w:color="auto" w:fill="FFFFFF" w:themeFill="background1"/>
            <w:vAlign w:val="center"/>
          </w:tcPr>
          <w:p w14:paraId="2249E5BE" w14:textId="77777777" w:rsidR="00132EBA" w:rsidRPr="0063758D" w:rsidRDefault="00132EBA" w:rsidP="00132EB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7FF7D92" w14:textId="77777777" w:rsidR="00132EBA" w:rsidRPr="0063758D" w:rsidRDefault="00132EBA" w:rsidP="00132EBA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F8111D1" w14:textId="77777777" w:rsidR="00132EBA" w:rsidRPr="0063758D" w:rsidRDefault="00132EBA" w:rsidP="00132EB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63758D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5957F94" w14:textId="3C9EC66E" w:rsidR="00132EBA" w:rsidRPr="0063758D" w:rsidRDefault="004A0E94" w:rsidP="00132EB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 на независимия експерт</w:t>
            </w:r>
          </w:p>
        </w:tc>
      </w:tr>
      <w:tr w:rsidR="00132EBA" w:rsidRPr="00311AD3" w14:paraId="53ADCA5A" w14:textId="77777777" w:rsidTr="00132EBA">
        <w:tc>
          <w:tcPr>
            <w:tcW w:w="15168" w:type="dxa"/>
            <w:gridSpan w:val="3"/>
            <w:shd w:val="clear" w:color="auto" w:fill="FBE4D5" w:themeFill="accent2" w:themeFillTint="33"/>
            <w:vAlign w:val="center"/>
          </w:tcPr>
          <w:p w14:paraId="6B5915FF" w14:textId="77777777" w:rsidR="00132EBA" w:rsidRPr="0063758D" w:rsidRDefault="00132EBA" w:rsidP="00132EBA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t>ДЕЙНОСТ 1: 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132EBA" w:rsidRPr="00311AD3" w14:paraId="7AB51A43" w14:textId="77777777" w:rsidTr="00132EBA">
        <w:tc>
          <w:tcPr>
            <w:tcW w:w="8789" w:type="dxa"/>
            <w:shd w:val="clear" w:color="auto" w:fill="FFFFFF" w:themeFill="background1"/>
            <w:vAlign w:val="center"/>
          </w:tcPr>
          <w:p w14:paraId="4D38BC21" w14:textId="77777777" w:rsidR="00132EBA" w:rsidRPr="0063758D" w:rsidRDefault="00132EBA" w:rsidP="00132EB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62B3D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Община Тетевен демонстрира ясно структурирана и нормативно обезпечена рамка, която гарантира, че всички вземащи решения – както на ниво политическо ръководство, така и на ниво администрация – са наясно със своите индивидуални и колективни отговорности. Тази отчетност е регламентирана чрез съответната законодателна и подзаконова уредба, както и чрез вътрешно-нормативни документи на общинско ниво, както следва:</w:t>
            </w:r>
          </w:p>
          <w:p w14:paraId="60057031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-Устройственият правилник на Община Тетевен, който дефинира функциите, правомощията и отговорностите на различните звена в администрацията:</w:t>
            </w:r>
          </w:p>
          <w:p w14:paraId="4BADE802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линк</w:t>
            </w:r>
          </w:p>
          <w:p w14:paraId="69AA7741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-Правилникът за организацията и дейността на Общинския съвет – Тетевен (мандат 2023–2027 г.), който ясно разграничава отговорностите между представителния орган и администрацията:</w:t>
            </w:r>
          </w:p>
          <w:p w14:paraId="4BADF358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линк</w:t>
            </w:r>
          </w:p>
          <w:p w14:paraId="6B5D6509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78FA03F3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lastRenderedPageBreak/>
              <w:t>-Заповеди за делегиране на права и длъжностни характеристики на служителите от всички структурни звена на общинската администрация, които конкретизират задълженията на индивидуално ниво. Те са налични в защитената облачна платформа на общината и са достъпни за служителите:</w:t>
            </w:r>
          </w:p>
          <w:p w14:paraId="2A7680E2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– административни и специализирани отдели;</w:t>
            </w:r>
          </w:p>
          <w:p w14:paraId="1F3B1E78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– отдели, отговарящи за услуги, финанси, управление на собствеността и обществени поръчки.</w:t>
            </w:r>
          </w:p>
          <w:p w14:paraId="3A0C9632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0FEAC346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Информацията показва, че тези документи не са формални, а се използват активно като основа за разпределение на задачи, контрол върху изпълнението и прилагане на вътрешни оценки.</w:t>
            </w:r>
          </w:p>
          <w:p w14:paraId="3C52165E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3430E7FF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Налице е не само яснота по отношение на законово определените отговорности, но и прилагане на принципите на отчетност и прозрачност в ежедневната работа. Това гарантира ефективност, отговорно поведение и намаляване на риска от неефективно управление или злоупотреби.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40DEED" w14:textId="4CEFF353" w:rsidR="00132EBA" w:rsidRPr="004A0E94" w:rsidRDefault="004A0E94" w:rsidP="004A0E94">
            <w:pPr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4A0E94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132EBA" w:rsidRPr="00311AD3" w14:paraId="4FE417BA" w14:textId="77777777" w:rsidTr="00132EBA">
        <w:tc>
          <w:tcPr>
            <w:tcW w:w="15168" w:type="dxa"/>
            <w:gridSpan w:val="3"/>
            <w:shd w:val="clear" w:color="auto" w:fill="FBE4D5" w:themeFill="accent2" w:themeFillTint="33"/>
            <w:vAlign w:val="center"/>
          </w:tcPr>
          <w:p w14:paraId="10BD7953" w14:textId="77777777" w:rsidR="00132EBA" w:rsidRPr="0063758D" w:rsidRDefault="00132EBA" w:rsidP="00132EBA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2:</w:t>
            </w:r>
            <w:r w:rsidRPr="0063758D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132EBA" w:rsidRPr="00311AD3" w14:paraId="4DB382E9" w14:textId="77777777" w:rsidTr="00132EBA">
        <w:tc>
          <w:tcPr>
            <w:tcW w:w="8789" w:type="dxa"/>
            <w:shd w:val="clear" w:color="auto" w:fill="FFFFFF" w:themeFill="background1"/>
            <w:vAlign w:val="center"/>
          </w:tcPr>
          <w:p w14:paraId="7C6F2BB5" w14:textId="77777777" w:rsidR="00132EBA" w:rsidRPr="0063758D" w:rsidRDefault="00132EBA" w:rsidP="00132EBA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CC998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Община Тетевен прилага цялостен и институционализиран подход към изпълнението на задълженията на изборните представители и служителите от общинската администрация, като осигурява вътрешен контрол и отчетност на различни нива. Наблюдават се следните ключови практики:</w:t>
            </w:r>
          </w:p>
          <w:p w14:paraId="49FEBC63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-Редовно отчитане пред Общинския съвет – кметът, заместник-кметовете и ресорните директори представят периодични отчети за изпълнението на програми, бюджети и проекти. Заседанията са публични и документите са достъпни на сайта на общината: https://www.teteven.bg/index.php/2017-04-12-11-20-20</w:t>
            </w:r>
          </w:p>
          <w:p w14:paraId="4C8DF895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-Систематично докладване за напредъка по стратегическите и годишните планове, както и за дейностите по управление на проекти с европейско финансиране. Това включва индикатори за резултатност, отклонения и предприети корективни действия.</w:t>
            </w:r>
          </w:p>
          <w:p w14:paraId="7D864511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 xml:space="preserve">-Системи за вътрешен контрол и одит, които осъществяват текущо наблюдение върху изпълнението на </w:t>
            </w:r>
            <w:r w:rsidRPr="0063758D">
              <w:rPr>
                <w:rFonts w:ascii="Times New Roman" w:eastAsia="Calibri" w:hAnsi="Times New Roman" w:cs="Times New Roman"/>
                <w:lang w:val="bg-BG"/>
              </w:rPr>
              <w:lastRenderedPageBreak/>
              <w:t>задълженията от страна на длъжностните лица, включително чрез:</w:t>
            </w:r>
          </w:p>
          <w:p w14:paraId="23148E52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– проверки от вътрешния одитор;</w:t>
            </w:r>
          </w:p>
          <w:p w14:paraId="66A49E0D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– контролни списъци;</w:t>
            </w:r>
          </w:p>
          <w:p w14:paraId="545056C0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– вътрешни процедури за санкциониране при неизпълнение.</w:t>
            </w:r>
          </w:p>
          <w:p w14:paraId="291CF186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-Въвеждане на електронни платформи за управление на документооборота и отчитане на изпълнението, което допринася за проследимост, прозрачност и автоматизирана отчетност.</w:t>
            </w:r>
          </w:p>
          <w:p w14:paraId="566A5920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-Поддържане на ясна връзка между индивидуалната длъжностна характеристика и оценката на изпълнението, което е важен елемент от системата за управление на човешките ресурси.</w:t>
            </w:r>
          </w:p>
          <w:p w14:paraId="48EA0A59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59BDD7C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Всичко това показва, че община Тетевен ефективно проследява изпълнението на задълженията на своите представители и служители, като гарантира отговорно поведение и постигане на поставените цели в интерес на местната общност.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8CC020" w14:textId="5F70EC99" w:rsidR="00132EBA" w:rsidRPr="0063758D" w:rsidRDefault="004A0E94" w:rsidP="004A0E94">
            <w:pPr>
              <w:jc w:val="center"/>
              <w:rPr>
                <w:rFonts w:ascii="Calibri" w:eastAsia="Calibri" w:hAnsi="Calibri" w:cs="Times New Roman"/>
                <w:b/>
                <w:lang w:val="bg-BG"/>
              </w:rPr>
            </w:pPr>
            <w:r w:rsidRPr="004A0E94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132EBA" w:rsidRPr="00311AD3" w14:paraId="5A5E5C4C" w14:textId="77777777" w:rsidTr="00132EBA">
        <w:tc>
          <w:tcPr>
            <w:tcW w:w="8789" w:type="dxa"/>
            <w:shd w:val="clear" w:color="auto" w:fill="FFFFFF" w:themeFill="background1"/>
            <w:vAlign w:val="center"/>
          </w:tcPr>
          <w:p w14:paraId="7AB20513" w14:textId="77777777" w:rsidR="00132EBA" w:rsidRPr="0063758D" w:rsidRDefault="00132EBA" w:rsidP="00132EB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63758D">
              <w:rPr>
                <w:rFonts w:ascii="Times New Roman" w:eastAsia="Calibri" w:hAnsi="Times New Roman" w:cs="Times New Roman"/>
                <w:b/>
                <w:iCs/>
                <w:lang w:val="bg-BG" w:eastAsia="bg-BG"/>
              </w:rPr>
              <w:t xml:space="preserve">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9A157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е въвела и прилага интегрирана система за наблюдение, управление и докладване на ключови решения, свързани с предоставянето </w:t>
            </w:r>
            <w:r w:rsidRPr="0063758D">
              <w:rPr>
                <w:rFonts w:ascii="Times New Roman" w:eastAsia="Calibri" w:hAnsi="Times New Roman" w:cs="Times New Roman"/>
                <w:lang w:val="bg-BG"/>
              </w:rPr>
              <w:lastRenderedPageBreak/>
              <w:t>на обществени услуги и изпълнението на политики, като по този начин се гарантира висока степен на отчетност и ефективност. Най-важните елементи включват:</w:t>
            </w:r>
          </w:p>
          <w:p w14:paraId="472F4EC3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-Системен подход за проследяване на изпълнението на общинските политики и програми, включително стратегически документи като Общинския план за развитие, плановете за интеграция, младежка политика, социални услуги и др. Изпълнението се докладва регулярно пред Общинския съвет и се публикува публично.</w:t>
            </w:r>
          </w:p>
          <w:p w14:paraId="7CED659A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-Използване на платформи за управление на документооборот и вътрешни отчети, което позволява проследимост на всяко взето решение – от етапа на иницииране, през обсъждане и приемане, до неговото изпълнение и отчитане.</w:t>
            </w:r>
          </w:p>
          <w:p w14:paraId="3A5FD230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-Наличие на вътрешни административни правила и процедури, които гарантират, че всеки акт на администрацията е обоснован, съгласуван и надлежно документиран. Всяко решение, свързано с обществени услуги, преминава през етапи на контрол и координация между звената.</w:t>
            </w:r>
          </w:p>
          <w:p w14:paraId="090F3E0D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lastRenderedPageBreak/>
              <w:t>-Роля на ресорните дирекции и служби, които имат ясно определени отговорности за мониторинг и обратна връзка по конкретни сектори – образование, здравеопазване, социална политика, инфраструктура.</w:t>
            </w:r>
          </w:p>
          <w:p w14:paraId="28CC3E8F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-Доклади и анализи на ефективността, които се използват не само за отчетност, но и за подобряване на бъдещи действия. При необходимост, се предприемат коригиращи мерки и се преработват планове или бюджети.</w:t>
            </w:r>
          </w:p>
          <w:p w14:paraId="3E88B284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D353F22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С тези механизми, община Тетевен осигурява непрекъснат контрол върху управлението на обществени ресурси и резултатите от взетите решения, което е в съответствие с принципите на добро управление, прозрачност и устойчивост.</w:t>
            </w:r>
          </w:p>
          <w:p w14:paraId="1EC3B247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B06BD" w14:textId="2CE9C59A" w:rsidR="00132EBA" w:rsidRPr="0063758D" w:rsidRDefault="004A0E94" w:rsidP="004A0E94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4A0E94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132EBA" w:rsidRPr="00311AD3" w14:paraId="42917B79" w14:textId="77777777" w:rsidTr="00132EBA">
        <w:tc>
          <w:tcPr>
            <w:tcW w:w="8789" w:type="dxa"/>
            <w:shd w:val="clear" w:color="auto" w:fill="FFFFFF" w:themeFill="background1"/>
            <w:vAlign w:val="center"/>
          </w:tcPr>
          <w:p w14:paraId="7107AF11" w14:textId="77777777" w:rsidR="00132EBA" w:rsidRPr="0063758D" w:rsidRDefault="00132EBA" w:rsidP="00132EB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408C0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Община Тетевен прилага установени и функциониращи механизми за наблюдение, оценка и управление на риска във връзка с изпълнението на ключови политики и предоставянето на публични услуги. Ключови аспекти в потвърждение на това:</w:t>
            </w:r>
          </w:p>
          <w:p w14:paraId="3760850B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 xml:space="preserve">-Наличие на вътрешни процедури за идентифициране и оценка на оперативни, финансови и </w:t>
            </w:r>
            <w:r w:rsidRPr="0063758D">
              <w:rPr>
                <w:rFonts w:ascii="Times New Roman" w:eastAsia="Calibri" w:hAnsi="Times New Roman" w:cs="Times New Roman"/>
                <w:lang w:val="bg-BG"/>
              </w:rPr>
              <w:lastRenderedPageBreak/>
              <w:t>стратегически рискове, прилагани от ресорните дирекции и звена. Те обхващат:</w:t>
            </w:r>
          </w:p>
          <w:p w14:paraId="0CDCC1EE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– потенциални закъснения в изпълнение на проекти;</w:t>
            </w:r>
          </w:p>
          <w:p w14:paraId="0C086D27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– недостиг на ресурси;</w:t>
            </w:r>
          </w:p>
          <w:p w14:paraId="3A5032A8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– рискове, свързани с доставчици и обществени поръчки;</w:t>
            </w:r>
          </w:p>
          <w:p w14:paraId="31B4276E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– социални и репутационни рискове.</w:t>
            </w:r>
          </w:p>
          <w:p w14:paraId="67597CFA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-Вътрешният одитен орган на общината регулярно изготвя доклади с конкретни препоръки за ограничаване на рисковете. Тези доклади се представят пред кмета и Общинския съвет, като в редица случаи водят до промяна на процеси или бюджети.</w:t>
            </w:r>
          </w:p>
          <w:p w14:paraId="6F1C70BD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-Докладване и анализ на отклонения между планирани и постигнати резултати в рамките на годишното бюджетно и стратегическо планиране. Идентифицираните проблемни области водят до актуализиране на програмни цели и индикатори.</w:t>
            </w:r>
          </w:p>
          <w:p w14:paraId="311DEE69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-Използване на стандартизирани контролни листове, вкл. при възлагане на обществени поръчки, контрол по наредби, административно обслужване и др., които допринасят за идентифициране на зони с повишен риск.</w:t>
            </w:r>
          </w:p>
          <w:p w14:paraId="644FED69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953C8FB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lastRenderedPageBreak/>
              <w:t>-Инструменти за обществена обратна връзка – включително сигнали, жалби и консултации, които играят роля в предварително установяване на проблемни зони и предлагане на подобрения.</w:t>
            </w:r>
          </w:p>
          <w:p w14:paraId="4E523E58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442E84CB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В заключение, системата на община Тетевен за управление на риска и контрол върху изпълнението е адекватна, прозрачна и съответства на добрите европейски управленски практики, като осигурява устойчивост и адаптивност в процеса на вземане на решения.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A93CE2" w14:textId="1CCB0B97" w:rsidR="00132EBA" w:rsidRPr="0063758D" w:rsidRDefault="004A0E94" w:rsidP="004A0E94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4A0E94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132EBA" w:rsidRPr="00311AD3" w14:paraId="01385475" w14:textId="77777777" w:rsidTr="00132EBA">
        <w:tc>
          <w:tcPr>
            <w:tcW w:w="15168" w:type="dxa"/>
            <w:gridSpan w:val="3"/>
            <w:shd w:val="clear" w:color="auto" w:fill="FBE4D5" w:themeFill="accent2" w:themeFillTint="33"/>
            <w:vAlign w:val="center"/>
          </w:tcPr>
          <w:p w14:paraId="623AB4D6" w14:textId="77777777" w:rsidR="00132EBA" w:rsidRPr="0063758D" w:rsidRDefault="00132EBA" w:rsidP="00132EB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132EBA" w:rsidRPr="00311AD3" w14:paraId="39899E7D" w14:textId="77777777" w:rsidTr="00132EBA">
        <w:tc>
          <w:tcPr>
            <w:tcW w:w="8789" w:type="dxa"/>
            <w:shd w:val="clear" w:color="auto" w:fill="FFFFFF" w:themeFill="background1"/>
            <w:vAlign w:val="center"/>
          </w:tcPr>
          <w:p w14:paraId="690CB064" w14:textId="77777777" w:rsidR="00132EBA" w:rsidRPr="0063758D" w:rsidRDefault="00132EBA" w:rsidP="00132EB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D7ECC2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Община Тетевен прилага подход, основан на доказателства и данни, при приемането на ключови управленски решения, както и при планирането и реализацията на местни политики и услуги, както следва:</w:t>
            </w:r>
          </w:p>
          <w:p w14:paraId="44A29A27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-Всички ключови стратегически документи и оперативни планове (напр. Общински план за развитие, План за интеграция на ромите, годишни бюджетни програми) се базират на предварителен социално-икономически и демографски анализ. Данните се извличат от:</w:t>
            </w:r>
          </w:p>
          <w:p w14:paraId="2D00B58B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lastRenderedPageBreak/>
              <w:t>– НСИ, ГРАО и вътрешни регистри;</w:t>
            </w:r>
          </w:p>
          <w:p w14:paraId="0F415424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– административни звена;</w:t>
            </w:r>
          </w:p>
          <w:p w14:paraId="584596DC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– местни и външни проучвания.</w:t>
            </w:r>
          </w:p>
          <w:p w14:paraId="00B94F17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-В процеса на вземане на решения общината използва показатели за ефективност и въздействие, които са свързани с предварително формулирани цели. Например:</w:t>
            </w:r>
          </w:p>
          <w:p w14:paraId="601BDEAD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– обхват на социалните услуги;</w:t>
            </w:r>
          </w:p>
          <w:p w14:paraId="283A6AF7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– равнище на безработица;</w:t>
            </w:r>
          </w:p>
          <w:p w14:paraId="64265C0C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– дела на ученици, обхванати от мерки срещу отпадане.</w:t>
            </w:r>
          </w:p>
          <w:p w14:paraId="2EA61BCA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-Наличието на регистри и електронни бази данни, поддържани от администрацията, позволява проследяване и анализ на информация в реално време – вкл. за заявления, услуги, жалби, административни процедури и др.</w:t>
            </w:r>
          </w:p>
          <w:p w14:paraId="3584EFA5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-Вземането на решения се придружава от писмени мотиви и анализи, включително в материалите, внасяни в Общинския съвет, където се аргументира нуждата, очакваните резултати и ефект върху различни целеви групи.</w:t>
            </w:r>
          </w:p>
          <w:p w14:paraId="47EA6FEC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 xml:space="preserve">-При реализацията на проекти с външно финансиране, се прилагат стандарти за мониторинг, индикатори за напредък и отчети, които обогатяват информационната основа и </w:t>
            </w:r>
            <w:r w:rsidRPr="0063758D">
              <w:rPr>
                <w:rFonts w:ascii="Times New Roman" w:eastAsia="Calibri" w:hAnsi="Times New Roman" w:cs="Times New Roman"/>
                <w:lang w:val="bg-BG"/>
              </w:rPr>
              <w:lastRenderedPageBreak/>
              <w:t>се използват и при други управленски процеси.</w:t>
            </w:r>
          </w:p>
          <w:p w14:paraId="07D4888E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7F875E90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Всичко това показва, че в община Тетевен решенията се вземат информирано, с ясна връзка между съществуващи предизвикателства, анализ на данни и планирани мерки, което отговаря на съвременните принципи на ефективно и отговорно местно управление.</w:t>
            </w:r>
          </w:p>
          <w:p w14:paraId="0743B63F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35325" w14:textId="431499E0" w:rsidR="00132EBA" w:rsidRPr="0063758D" w:rsidRDefault="004A0E94" w:rsidP="004A0E94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0E94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132EBA" w:rsidRPr="00311AD3" w14:paraId="29EEB5A3" w14:textId="77777777" w:rsidTr="00132EBA">
        <w:tc>
          <w:tcPr>
            <w:tcW w:w="8789" w:type="dxa"/>
            <w:shd w:val="clear" w:color="auto" w:fill="FFFFFF" w:themeFill="background1"/>
            <w:vAlign w:val="center"/>
          </w:tcPr>
          <w:p w14:paraId="6F91F866" w14:textId="77777777" w:rsidR="00132EBA" w:rsidRPr="0063758D" w:rsidRDefault="00132EBA" w:rsidP="00132EB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35CD6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Община Тетевен прилага целенасочена политика за развитие на култура на отговорност, прозрачност и учене в рамките на администрацията, като насърчава систематичното извличане на поуки от дейности, инициативи и взети решения. Основни проявления на този подход:</w:t>
            </w:r>
          </w:p>
          <w:p w14:paraId="0C3D5A48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-Механизми за вътрешен анализ на изпълнението – както при стратегически документи (напр. годишни отчети към Общинския съвет), така и в рамките на конкретни проекти и програми. След всеки отчетен период се прави преглед на изпълнението спрямо индикаторите и се посочват уроци и препоръки за бъдещето.</w:t>
            </w:r>
          </w:p>
          <w:p w14:paraId="28BD3C26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lastRenderedPageBreak/>
              <w:t>-Интегрирана практика за коригиращи действия – при установяване на слабости или недостатъци в процесите се предприемат конкретни административни промени (напр. актуализация на процедури, подобряване на комуникационните канали, обучение на служители).</w:t>
            </w:r>
          </w:p>
          <w:p w14:paraId="7EB935EC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-Вътрешни обучения и обмен на опит – служителите участват в регулярни срещи и обучения, където се дискутират казуси от практиката, добри примери, както и случаи, при които са настъпили затруднения. Това подпомага изграждането на култура на непрекъснато усъвършенстване.</w:t>
            </w:r>
          </w:p>
          <w:p w14:paraId="2256A0D0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-Систематично събиране на обратна връзка от граждани и заинтересовани страни, която служи не само за моментна оценка, но и за анализ на причините за неудовлетвореност и формулиране на подобрения.</w:t>
            </w:r>
          </w:p>
          <w:p w14:paraId="70640BA0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t>-В рамките на реализирани проекти по програми като „Добро управление“, ПРСР и ОПРЧР, общината е въвела добри практики за последваща оценка и капитализиране на резултати, което позволява прилагането им в нови инициативи.</w:t>
            </w:r>
          </w:p>
          <w:p w14:paraId="491EDE94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404DAB82" w14:textId="77777777" w:rsidR="00132EBA" w:rsidRPr="0063758D" w:rsidRDefault="00132EBA" w:rsidP="00132E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lang w:val="bg-BG"/>
              </w:rPr>
              <w:lastRenderedPageBreak/>
              <w:t>Община Тетевен дава пример за учеща се администрация, при която неуспехите не се прикриват, а се използват като възможност за подобрение. Това е ключова характеристика на съвременното публично управление, ориентирано към устойчиво развитие и доверие на гражданите.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96899" w14:textId="67CC7A71" w:rsidR="00132EBA" w:rsidRPr="0063758D" w:rsidRDefault="004A0E94" w:rsidP="004A0E94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0E94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132EBA" w:rsidRPr="00311AD3" w14:paraId="0A4C2DA5" w14:textId="77777777" w:rsidTr="00132EBA">
        <w:tc>
          <w:tcPr>
            <w:tcW w:w="8789" w:type="dxa"/>
            <w:shd w:val="clear" w:color="auto" w:fill="E2EFD9" w:themeFill="accent6" w:themeFillTint="33"/>
            <w:vAlign w:val="center"/>
          </w:tcPr>
          <w:p w14:paraId="45BAF206" w14:textId="77777777" w:rsidR="00132EBA" w:rsidRPr="0063758D" w:rsidRDefault="00132EBA" w:rsidP="00132EB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FE3B8C8" w14:textId="77777777" w:rsidR="00132EBA" w:rsidRPr="0063758D" w:rsidRDefault="00132EBA" w:rsidP="00132EB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12:</w:t>
            </w:r>
          </w:p>
          <w:p w14:paraId="4E349A03" w14:textId="77777777" w:rsidR="00132EBA" w:rsidRPr="0063758D" w:rsidRDefault="00132EBA" w:rsidP="00132EB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6379" w:type="dxa"/>
            <w:gridSpan w:val="2"/>
            <w:shd w:val="clear" w:color="auto" w:fill="E2EFD9" w:themeFill="accent6" w:themeFillTint="33"/>
            <w:vAlign w:val="center"/>
          </w:tcPr>
          <w:p w14:paraId="53053842" w14:textId="77777777" w:rsidR="00132EBA" w:rsidRPr="0063758D" w:rsidRDefault="00132EBA" w:rsidP="00132EB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3758D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14:paraId="277FDB79" w14:textId="77777777" w:rsidR="00246FD8" w:rsidRDefault="00246FD8"/>
    <w:sectPr w:rsidR="00246FD8" w:rsidSect="00AA5188">
      <w:head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CD85" w14:textId="77777777" w:rsidR="003D2A6B" w:rsidRDefault="003D2A6B" w:rsidP="00EC29EB">
      <w:pPr>
        <w:spacing w:after="0" w:line="240" w:lineRule="auto"/>
      </w:pPr>
      <w:r>
        <w:separator/>
      </w:r>
    </w:p>
  </w:endnote>
  <w:endnote w:type="continuationSeparator" w:id="0">
    <w:p w14:paraId="28881518" w14:textId="77777777" w:rsidR="003D2A6B" w:rsidRDefault="003D2A6B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B85DD" w14:textId="77777777" w:rsidR="003D2A6B" w:rsidRDefault="003D2A6B" w:rsidP="00EC29EB">
      <w:pPr>
        <w:spacing w:after="0" w:line="240" w:lineRule="auto"/>
      </w:pPr>
      <w:r>
        <w:separator/>
      </w:r>
    </w:p>
  </w:footnote>
  <w:footnote w:type="continuationSeparator" w:id="0">
    <w:p w14:paraId="7AC49B66" w14:textId="77777777" w:rsidR="003D2A6B" w:rsidRDefault="003D2A6B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74A4C" w14:textId="77777777" w:rsidR="00EC29EB" w:rsidRPr="00C25E62" w:rsidRDefault="00EC29EB" w:rsidP="00EC29EB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14:paraId="6C9A0F90" w14:textId="77777777" w:rsidR="00EC29EB" w:rsidRDefault="00EC29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461"/>
    <w:rsid w:val="000B456B"/>
    <w:rsid w:val="000E1432"/>
    <w:rsid w:val="00132EBA"/>
    <w:rsid w:val="00246FD8"/>
    <w:rsid w:val="00311AD3"/>
    <w:rsid w:val="003D2A6B"/>
    <w:rsid w:val="004A0E94"/>
    <w:rsid w:val="005B5A0A"/>
    <w:rsid w:val="00677568"/>
    <w:rsid w:val="006B053C"/>
    <w:rsid w:val="006D5B88"/>
    <w:rsid w:val="00825CDB"/>
    <w:rsid w:val="00985575"/>
    <w:rsid w:val="00A61BFC"/>
    <w:rsid w:val="00AA5188"/>
    <w:rsid w:val="00B03ACD"/>
    <w:rsid w:val="00B245EB"/>
    <w:rsid w:val="00C9468A"/>
    <w:rsid w:val="00D15542"/>
    <w:rsid w:val="00D44461"/>
    <w:rsid w:val="00EC29EB"/>
    <w:rsid w:val="00F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C9A03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9EB"/>
  </w:style>
  <w:style w:type="paragraph" w:styleId="Footer">
    <w:name w:val="footer"/>
    <w:basedOn w:val="Normal"/>
    <w:link w:val="Foot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1760</Words>
  <Characters>10037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9</cp:revision>
  <dcterms:created xsi:type="dcterms:W3CDTF">2022-07-05T11:37:00Z</dcterms:created>
  <dcterms:modified xsi:type="dcterms:W3CDTF">2025-06-19T06:34:00Z</dcterms:modified>
</cp:coreProperties>
</file>